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23920" w14:textId="77777777" w:rsidR="00C54EAE" w:rsidRPr="00C54EAE" w:rsidRDefault="00C54EAE" w:rsidP="00C54EAE">
      <w:pPr>
        <w:pStyle w:val="aff7"/>
        <w:rPr>
          <w:lang w:eastAsia="zh-TW"/>
        </w:rPr>
      </w:pPr>
      <w:bookmarkStart w:id="0" w:name="OLE_LINK1"/>
      <w:r w:rsidRPr="00C54EAE">
        <w:rPr>
          <w:rFonts w:hint="eastAsia"/>
          <w:lang w:eastAsia="zh-TW"/>
        </w:rPr>
        <w:t>清華簡《殷高宗問於三壽》“共</w:t>
      </w:r>
      <w:r w:rsidRPr="00C54EAE">
        <w:rPr>
          <w:rFonts w:ascii="SimSun-ExtB" w:eastAsia="SimSun-ExtB" w:hAnsi="SimSun-ExtB" w:cs="SimSun-ExtB" w:hint="eastAsia"/>
          <w:lang w:eastAsia="zh-TW"/>
        </w:rPr>
        <w:t>𣒈</w:t>
      </w:r>
      <w:r w:rsidRPr="00C54EAE">
        <w:rPr>
          <w:rFonts w:hint="eastAsia"/>
          <w:lang w:eastAsia="zh-TW"/>
        </w:rPr>
        <w:t>”與《成后》“共皇”合證</w:t>
      </w:r>
    </w:p>
    <w:p w14:paraId="3C768639" w14:textId="77777777" w:rsidR="00C54EAE" w:rsidRPr="00C54EAE" w:rsidRDefault="00C54EAE" w:rsidP="00C54EAE">
      <w:pPr>
        <w:rPr>
          <w:szCs w:val="24"/>
          <w:lang w:eastAsia="zh-TW"/>
        </w:rPr>
      </w:pPr>
    </w:p>
    <w:p w14:paraId="3B85E5E1" w14:textId="77777777" w:rsidR="00D00D40" w:rsidRPr="00C54EAE" w:rsidRDefault="00D00D40" w:rsidP="00D00D40">
      <w:pPr>
        <w:pStyle w:val="aff8"/>
      </w:pPr>
      <w:r w:rsidRPr="00C54EAE">
        <w:rPr>
          <w:rFonts w:hint="eastAsia"/>
        </w:rPr>
        <w:t>（首發）</w:t>
      </w:r>
    </w:p>
    <w:p w14:paraId="2A080D74" w14:textId="77777777" w:rsidR="00C54EAE" w:rsidRPr="00C54EAE" w:rsidRDefault="00C54EAE" w:rsidP="00C54EAE">
      <w:pPr>
        <w:pStyle w:val="aff8"/>
      </w:pPr>
      <w:r w:rsidRPr="00C54EAE">
        <w:rPr>
          <w:rFonts w:hint="eastAsia"/>
        </w:rPr>
        <w:t>逸少</w:t>
      </w:r>
    </w:p>
    <w:p w14:paraId="139C583C" w14:textId="77777777" w:rsidR="00C54EAE" w:rsidRPr="00C54EAE" w:rsidRDefault="00C54EAE" w:rsidP="00C54EAE">
      <w:pPr>
        <w:rPr>
          <w:szCs w:val="24"/>
          <w:lang w:eastAsia="zh-TW"/>
        </w:rPr>
      </w:pPr>
    </w:p>
    <w:p w14:paraId="6FF1AA8B" w14:textId="77777777" w:rsidR="00C54EAE" w:rsidRPr="00C54EAE" w:rsidRDefault="00C54EAE" w:rsidP="00C54EAE">
      <w:pPr>
        <w:rPr>
          <w:szCs w:val="24"/>
          <w:lang w:eastAsia="zh-TW"/>
        </w:rPr>
      </w:pPr>
    </w:p>
    <w:p w14:paraId="252891E8" w14:textId="77777777" w:rsidR="00C54EAE" w:rsidRPr="00C54EAE" w:rsidRDefault="00C54EAE" w:rsidP="00F15BDB">
      <w:pPr>
        <w:pStyle w:val="aff6"/>
        <w:ind w:firstLine="560"/>
        <w:rPr>
          <w:lang w:eastAsia="zh-TW"/>
        </w:rPr>
      </w:pPr>
      <w:r w:rsidRPr="00C54EAE">
        <w:rPr>
          <w:rFonts w:hint="eastAsia"/>
          <w:lang w:eastAsia="zh-TW"/>
        </w:rPr>
        <w:t>清華簡《殷高宗問於三壽》簡19-20有幾句解釋“智”的話，謂：</w:t>
      </w:r>
    </w:p>
    <w:p w14:paraId="20722B0E" w14:textId="77777777" w:rsidR="00C54EAE" w:rsidRPr="00C54EAE" w:rsidRDefault="00C54EAE" w:rsidP="00F15BDB">
      <w:pPr>
        <w:pStyle w:val="aff6"/>
        <w:ind w:firstLine="560"/>
        <w:rPr>
          <w:lang w:eastAsia="zh-TW"/>
        </w:rPr>
      </w:pPr>
    </w:p>
    <w:p w14:paraId="56EA6D49" w14:textId="77777777" w:rsidR="00C54EAE" w:rsidRPr="00C54EAE" w:rsidRDefault="00C54EAE" w:rsidP="00F15BDB">
      <w:pPr>
        <w:pStyle w:val="aff4"/>
        <w:spacing w:before="540" w:after="540"/>
        <w:ind w:firstLine="496"/>
      </w:pPr>
      <w:r w:rsidRPr="00C54EAE">
        <w:rPr>
          <w:rFonts w:hint="eastAsia"/>
        </w:rPr>
        <w:t>昔勤不居，</w:t>
      </w:r>
      <w:r w:rsidRPr="00C54EAE">
        <w:rPr>
          <w:rFonts w:ascii="Calibri" w:hAnsi="Calibri"/>
          <w:noProof/>
          <w:sz w:val="21"/>
          <w:u w:val="double"/>
        </w:rPr>
        <w:drawing>
          <wp:inline distT="0" distB="0" distL="0" distR="0" wp14:anchorId="5A00180A" wp14:editId="50A71D76">
            <wp:extent cx="171503" cy="180000"/>
            <wp:effectExtent l="0" t="0" r="0" b="0"/>
            <wp:docPr id="218804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8042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503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EAE">
        <w:rPr>
          <w:noProof/>
          <w:u w:val="double"/>
        </w:rPr>
        <w:drawing>
          <wp:inline distT="0" distB="0" distL="0" distR="0" wp14:anchorId="36220BF0" wp14:editId="5330C862">
            <wp:extent cx="173567" cy="183852"/>
            <wp:effectExtent l="0" t="0" r="0" b="0"/>
            <wp:docPr id="4698488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84885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8494" cy="18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EAE">
        <w:rPr>
          <w:rFonts w:hint="eastAsia"/>
          <w:u w:val="double"/>
        </w:rPr>
        <w:t>（祗）不易，共</w:t>
      </w:r>
      <w:r w:rsidRPr="00C54EAE">
        <w:rPr>
          <w:rFonts w:ascii="SimSun-ExtB" w:eastAsia="SimSun-ExtB" w:hAnsi="SimSun-ExtB" w:cs="SimSun-ExtB" w:hint="eastAsia"/>
          <w:u w:val="double"/>
        </w:rPr>
        <w:t>𣒈</w:t>
      </w:r>
      <w:r w:rsidRPr="00C54EAE">
        <w:rPr>
          <w:rFonts w:hint="eastAsia"/>
          <w:u w:val="double"/>
        </w:rPr>
        <w:t>思</w:t>
      </w:r>
      <w:r w:rsidRPr="00C54EAE">
        <w:rPr>
          <w:noProof/>
          <w:u w:val="double"/>
        </w:rPr>
        <w:drawing>
          <wp:inline distT="0" distB="0" distL="0" distR="0" wp14:anchorId="11843B69" wp14:editId="18E7DC86">
            <wp:extent cx="181610" cy="181610"/>
            <wp:effectExtent l="0" t="0" r="0" b="0"/>
            <wp:docPr id="16521195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11959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703" cy="18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EAE">
        <w:rPr>
          <w:rFonts w:hint="eastAsia"/>
        </w:rPr>
        <w:t>，內（納）諫受訾，神民莫責，寺（是）名曰智。</w:t>
      </w:r>
    </w:p>
    <w:p w14:paraId="7A6F6202" w14:textId="77777777" w:rsidR="00C54EAE" w:rsidRPr="00C54EAE" w:rsidRDefault="00C54EAE" w:rsidP="00F15BDB">
      <w:pPr>
        <w:pStyle w:val="aff6"/>
        <w:ind w:firstLine="560"/>
        <w:rPr>
          <w:rFonts w:cs="微软雅黑"/>
          <w:lang w:eastAsia="zh-TW"/>
        </w:rPr>
      </w:pPr>
    </w:p>
    <w:p w14:paraId="1E0FD46D" w14:textId="77777777" w:rsidR="00C54EAE" w:rsidRPr="00C54EAE" w:rsidRDefault="00C54EAE" w:rsidP="00F15BDB">
      <w:pPr>
        <w:pStyle w:val="aff6"/>
        <w:ind w:firstLine="560"/>
        <w:rPr>
          <w:rFonts w:cs="微软雅黑"/>
          <w:lang w:eastAsia="zh-TW"/>
        </w:rPr>
      </w:pPr>
      <w:r w:rsidRPr="00C54EAE">
        <w:rPr>
          <w:rFonts w:cs="微软雅黑" w:hint="eastAsia"/>
          <w:lang w:eastAsia="zh-TW"/>
        </w:rPr>
        <w:t>這段話中前三句爭議較大，其中第三句整理者把“共”讀為“供”，訓“奉”，“</w:t>
      </w:r>
      <w:r w:rsidRPr="00C54EAE">
        <w:rPr>
          <w:rFonts w:ascii="SimSun-ExtB" w:eastAsia="SimSun-ExtB" w:hAnsi="SimSun-ExtB" w:cs="SimSun-ExtB" w:hint="eastAsia"/>
          <w:lang w:eastAsia="zh-TW"/>
        </w:rPr>
        <w:t>𣒈</w:t>
      </w:r>
      <w:r w:rsidRPr="00C54EAE">
        <w:rPr>
          <w:rFonts w:cs="微软雅黑" w:hint="eastAsia"/>
          <w:lang w:eastAsia="zh-TW"/>
        </w:rPr>
        <w:t>”讀作“皇”，訓“正”，“</w:t>
      </w:r>
      <w:r w:rsidRPr="00C54EAE">
        <w:rPr>
          <w:rFonts w:cs="微软雅黑"/>
          <w:noProof/>
        </w:rPr>
        <w:drawing>
          <wp:inline distT="0" distB="0" distL="0" distR="0" wp14:anchorId="1203CF0F" wp14:editId="372B25C7">
            <wp:extent cx="181610" cy="181610"/>
            <wp:effectExtent l="0" t="0" r="0" b="0"/>
            <wp:docPr id="4530523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11959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703" cy="18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EAE">
        <w:rPr>
          <w:rFonts w:cs="微软雅黑" w:hint="eastAsia"/>
          <w:lang w:eastAsia="zh-TW"/>
        </w:rPr>
        <w:t>”讀作“修”，訓“治”。王寧讀“共”為“恐”，“枉”訓“彎曲”，“修”訓“修治”。網友蚊首讀作“恭（或供）往思修”，“修”有“長”“遠”之意，指將來，整句謂“敬（或奉）往思來”。暮四郎認為古書“思”“悠”常並言，“</w:t>
      </w:r>
      <w:r w:rsidRPr="00C54EAE">
        <w:rPr>
          <w:rFonts w:cs="微软雅黑"/>
          <w:noProof/>
        </w:rPr>
        <w:drawing>
          <wp:inline distT="0" distB="0" distL="0" distR="0" wp14:anchorId="0D550708" wp14:editId="11FB792D">
            <wp:extent cx="181610" cy="181610"/>
            <wp:effectExtent l="0" t="0" r="0" b="0"/>
            <wp:docPr id="4695924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11959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703" cy="18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EAE">
        <w:rPr>
          <w:rFonts w:cs="微软雅黑" w:hint="eastAsia"/>
          <w:lang w:eastAsia="zh-TW"/>
        </w:rPr>
        <w:t>”讀作“悠”。鄧佩玲女士認為是指祭事，呼應</w:t>
      </w:r>
      <w:r w:rsidRPr="00C54EAE">
        <w:rPr>
          <w:rFonts w:cs="微软雅黑" w:hint="eastAsia"/>
          <w:lang w:eastAsia="zh-TW"/>
        </w:rPr>
        <w:lastRenderedPageBreak/>
        <w:t>“神”，“共”讀“供”，指獻祭神靈，“</w:t>
      </w:r>
      <w:r w:rsidRPr="00C54EAE">
        <w:rPr>
          <w:rFonts w:ascii="SimSun-ExtB" w:eastAsia="SimSun-ExtB" w:hAnsi="SimSun-ExtB" w:cs="SimSun-ExtB" w:hint="eastAsia"/>
          <w:lang w:eastAsia="zh-TW"/>
        </w:rPr>
        <w:t>𣒈</w:t>
      </w:r>
      <w:r w:rsidRPr="00C54EAE">
        <w:rPr>
          <w:rFonts w:cs="微软雅黑" w:hint="eastAsia"/>
          <w:lang w:eastAsia="zh-TW"/>
        </w:rPr>
        <w:t>”讀“往”，指已故之先祖，“修”訓“學習”，指學習先祖的美德。</w:t>
      </w:r>
      <w:r w:rsidRPr="00C54EAE">
        <w:rPr>
          <w:rFonts w:cs="微软雅黑" w:hint="eastAsia"/>
          <w:vertAlign w:val="superscript"/>
        </w:rPr>
        <w:endnoteReference w:id="1"/>
      </w:r>
    </w:p>
    <w:p w14:paraId="60550A13" w14:textId="77777777" w:rsidR="00C54EAE" w:rsidRPr="00C54EAE" w:rsidRDefault="00C54EAE" w:rsidP="00F15BDB">
      <w:pPr>
        <w:pStyle w:val="aff6"/>
        <w:ind w:firstLine="560"/>
        <w:rPr>
          <w:rFonts w:cs="微软雅黑"/>
          <w:lang w:eastAsia="zh-TW"/>
        </w:rPr>
      </w:pPr>
      <w:r w:rsidRPr="00C54EAE">
        <w:rPr>
          <w:rFonts w:cs="微软雅黑" w:hint="eastAsia"/>
          <w:lang w:eastAsia="zh-TW"/>
        </w:rPr>
        <w:t>近日程浩先生披露了即將出版的清華簡第十四輯中的《成后》篇的部分內容，該篇開頭是記述成王追念先王、敬慎承嗣之事，其中簡1謂：</w:t>
      </w:r>
    </w:p>
    <w:p w14:paraId="397068BF" w14:textId="77777777" w:rsidR="00C54EAE" w:rsidRPr="00C54EAE" w:rsidRDefault="00C54EAE" w:rsidP="00F15BDB">
      <w:pPr>
        <w:pStyle w:val="aff6"/>
        <w:ind w:firstLine="560"/>
        <w:rPr>
          <w:rFonts w:cs="微软雅黑"/>
          <w:lang w:eastAsia="zh-TW"/>
        </w:rPr>
      </w:pPr>
    </w:p>
    <w:p w14:paraId="286F4C2B" w14:textId="77777777" w:rsidR="00C54EAE" w:rsidRPr="00C54EAE" w:rsidRDefault="00C54EAE" w:rsidP="00F15BDB">
      <w:pPr>
        <w:pStyle w:val="aff4"/>
        <w:spacing w:before="540" w:after="540"/>
        <w:ind w:firstLine="496"/>
      </w:pPr>
      <w:r w:rsidRPr="00C54EAE">
        <w:rPr>
          <w:rFonts w:hint="eastAsia"/>
          <w:u w:val="double"/>
        </w:rPr>
        <w:t>成后念往，共皇不戒</w:t>
      </w:r>
      <w:r w:rsidRPr="00C54EAE">
        <w:rPr>
          <w:rFonts w:hint="eastAsia"/>
        </w:rPr>
        <w:t>。文奠禹浚，甸度從則。</w:t>
      </w:r>
    </w:p>
    <w:p w14:paraId="50C9CCDC" w14:textId="77777777" w:rsidR="00C54EAE" w:rsidRPr="00C54EAE" w:rsidRDefault="00C54EAE" w:rsidP="00F15BDB">
      <w:pPr>
        <w:pStyle w:val="aff6"/>
        <w:ind w:firstLine="560"/>
        <w:rPr>
          <w:rFonts w:cs="微软雅黑"/>
          <w:lang w:eastAsia="zh-TW"/>
        </w:rPr>
      </w:pPr>
    </w:p>
    <w:p w14:paraId="68C4F973" w14:textId="77777777" w:rsidR="00C54EAE" w:rsidRPr="00C54EAE" w:rsidRDefault="00C54EAE" w:rsidP="00F15BDB">
      <w:pPr>
        <w:pStyle w:val="aff6"/>
        <w:ind w:firstLine="560"/>
        <w:rPr>
          <w:rFonts w:cs="微软雅黑"/>
          <w:lang w:eastAsia="zh-TW"/>
        </w:rPr>
      </w:pPr>
      <w:r w:rsidRPr="00C54EAE">
        <w:rPr>
          <w:rFonts w:cs="微软雅黑" w:hint="eastAsia"/>
          <w:lang w:eastAsia="zh-TW"/>
        </w:rPr>
        <w:t>劃線部分與《三壽》句式、意義非常類似，“共皇不戒”整理報告讀作“恭皇丕戒”，程先生讀作“拱皇不懈”，說其含義與清華簡《參不韋》“拱伏不皇”類似，描述成王對往聖先賢畢恭畢敬的姿態。</w:t>
      </w:r>
      <w:r w:rsidRPr="00C54EAE">
        <w:rPr>
          <w:rFonts w:cs="微软雅黑" w:hint="eastAsia"/>
          <w:vertAlign w:val="superscript"/>
        </w:rPr>
        <w:endnoteReference w:id="2"/>
      </w:r>
      <w:r w:rsidRPr="00C54EAE">
        <w:rPr>
          <w:rFonts w:cs="微软雅黑" w:hint="eastAsia"/>
          <w:lang w:eastAsia="zh-TW"/>
        </w:rPr>
        <w:t xml:space="preserve"> </w:t>
      </w:r>
    </w:p>
    <w:p w14:paraId="67A28F56" w14:textId="77777777" w:rsidR="00C54EAE" w:rsidRPr="00C54EAE" w:rsidRDefault="00C54EAE" w:rsidP="00F15BDB">
      <w:pPr>
        <w:pStyle w:val="aff6"/>
        <w:ind w:firstLine="560"/>
        <w:rPr>
          <w:rFonts w:cs="微软雅黑"/>
          <w:lang w:eastAsia="zh-TW"/>
        </w:rPr>
      </w:pPr>
      <w:r w:rsidRPr="00C54EAE">
        <w:rPr>
          <w:rFonts w:cs="微软雅黑" w:hint="eastAsia"/>
          <w:lang w:eastAsia="zh-TW"/>
        </w:rPr>
        <w:t>按，我們認為《三壽》的“</w:t>
      </w:r>
      <w:r w:rsidRPr="00C54EAE">
        <w:rPr>
          <w:rFonts w:hint="eastAsia"/>
          <w:lang w:eastAsia="zh-TW"/>
        </w:rPr>
        <w:t>共</w:t>
      </w:r>
      <w:r w:rsidRPr="00C54EAE">
        <w:rPr>
          <w:rFonts w:ascii="SimSun-ExtB" w:eastAsia="SimSun-ExtB" w:hAnsi="SimSun-ExtB" w:cs="SimSun-ExtB" w:hint="eastAsia"/>
          <w:lang w:eastAsia="zh-TW"/>
        </w:rPr>
        <w:t>𣒈</w:t>
      </w:r>
      <w:r w:rsidRPr="00C54EAE">
        <w:rPr>
          <w:rFonts w:cs="微软雅黑" w:hint="eastAsia"/>
          <w:lang w:eastAsia="zh-TW"/>
        </w:rPr>
        <w:t>”當與《成后》的“共皇”合觀，應是同一詞，這兩句都是指祭祀自己的祖先而言，可讀作“供往”或“恭往”，程先生讀“不戒”為“不懈”可從（義與《三壽》“不易”同，鄧女士認為即金文的“不惕”），“成后念往，供皇不懈”的意思是成王追念往日的祖先，因而堅持不懈地供奉祭祀自己的往聖先賢。</w:t>
      </w:r>
      <w:r w:rsidRPr="00C54EAE">
        <w:rPr>
          <w:rFonts w:cs="微软雅黑" w:hint="eastAsia"/>
          <w:lang w:eastAsia="zh-TW"/>
        </w:rPr>
        <w:lastRenderedPageBreak/>
        <w:t>結合《成后》這句，可以看出《三壽》“共</w:t>
      </w:r>
      <w:r w:rsidRPr="00C54EAE">
        <w:rPr>
          <w:rFonts w:ascii="SimSun-ExtB" w:eastAsia="SimSun-ExtB" w:hAnsi="SimSun-ExtB" w:cs="SimSun-ExtB" w:hint="eastAsia"/>
          <w:lang w:eastAsia="zh-TW"/>
        </w:rPr>
        <w:t>𣒈</w:t>
      </w:r>
      <w:r w:rsidRPr="00C54EAE">
        <w:rPr>
          <w:rFonts w:cs="微软雅黑" w:hint="eastAsia"/>
          <w:lang w:eastAsia="zh-TW"/>
        </w:rPr>
        <w:t>思</w:t>
      </w:r>
      <w:r w:rsidRPr="00C54EAE">
        <w:rPr>
          <w:rFonts w:cs="微软雅黑"/>
          <w:noProof/>
        </w:rPr>
        <w:drawing>
          <wp:inline distT="0" distB="0" distL="0" distR="0" wp14:anchorId="776480D2" wp14:editId="65AEF172">
            <wp:extent cx="181610" cy="181610"/>
            <wp:effectExtent l="0" t="0" r="0" b="0"/>
            <wp:docPr id="1354498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11959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703" cy="184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EAE">
        <w:rPr>
          <w:rFonts w:cs="微软雅黑" w:hint="eastAsia"/>
          <w:lang w:eastAsia="zh-TW"/>
        </w:rPr>
        <w:t>”應該讀作“供往思修”，“往”如鄧女士所言指已故祖先，不過“修”訓“習”恐不妥，當訓“美”，《楚辭·離騷》：“老冉冉其將至兮，恐修名之不立。”“修名”即“美名”，“供往思修”意謂供奉祭祀祖先，追思先祖美德。</w:t>
      </w:r>
    </w:p>
    <w:p w14:paraId="6261B8EC" w14:textId="77777777" w:rsidR="00C54EAE" w:rsidRPr="00C54EAE" w:rsidRDefault="00C54EAE" w:rsidP="00F15BDB">
      <w:pPr>
        <w:pStyle w:val="aff6"/>
        <w:ind w:firstLine="560"/>
        <w:rPr>
          <w:lang w:eastAsia="zh-TW"/>
        </w:rPr>
      </w:pPr>
    </w:p>
    <w:bookmarkEnd w:id="0"/>
    <w:p w14:paraId="6437201A" w14:textId="03806F2F" w:rsidR="00DB700A" w:rsidRPr="00C54EAE" w:rsidRDefault="00DB700A" w:rsidP="00F15BDB">
      <w:pPr>
        <w:pStyle w:val="aff6"/>
        <w:ind w:firstLine="560"/>
        <w:rPr>
          <w:rFonts w:ascii="微软雅黑" w:eastAsia="微软雅黑" w:hAnsi="微软雅黑" w:cs="微软雅黑"/>
          <w:color w:val="191B1F"/>
          <w:szCs w:val="27"/>
          <w:shd w:val="clear" w:color="auto" w:fill="FFFFFF"/>
          <w:lang w:eastAsia="zh-TW"/>
        </w:rPr>
      </w:pPr>
    </w:p>
    <w:sectPr w:rsidR="00DB700A" w:rsidRPr="00C54EAE">
      <w:headerReference w:type="default" r:id="rId11"/>
      <w:footerReference w:type="even" r:id="rId12"/>
      <w:footerReference w:type="default" r:id="rId13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57C12" w14:textId="77777777" w:rsidR="00942676" w:rsidRDefault="00942676">
      <w:r>
        <w:separator/>
      </w:r>
    </w:p>
  </w:endnote>
  <w:endnote w:type="continuationSeparator" w:id="0">
    <w:p w14:paraId="504D5CF1" w14:textId="77777777" w:rsidR="00942676" w:rsidRDefault="00942676">
      <w:r>
        <w:continuationSeparator/>
      </w:r>
    </w:p>
  </w:endnote>
  <w:endnote w:id="1">
    <w:p w14:paraId="037197AE" w14:textId="77777777" w:rsidR="00C54EAE" w:rsidRPr="003938BF" w:rsidRDefault="00C54EAE" w:rsidP="00F15BDB">
      <w:pPr>
        <w:pStyle w:val="ad"/>
        <w:rPr>
          <w:lang w:eastAsia="zh-TW"/>
        </w:rPr>
      </w:pPr>
      <w:r w:rsidRPr="003938BF">
        <w:rPr>
          <w:rStyle w:val="afd"/>
        </w:rPr>
        <w:endnoteRef/>
      </w:r>
      <w:r w:rsidRPr="003938BF">
        <w:rPr>
          <w:lang w:eastAsia="zh-TW"/>
        </w:rPr>
        <w:t xml:space="preserve"> </w:t>
      </w:r>
      <w:r w:rsidRPr="003938BF">
        <w:rPr>
          <w:rFonts w:hint="eastAsia"/>
          <w:lang w:eastAsia="zh-TW"/>
        </w:rPr>
        <w:t>上述觀點參李美辰《清華簡武丁類文獻集釋與研究》，吉林大學碩士學位論文，2016年6月，第174-175頁；鄧佩玲《清華簡（五）&lt;殷高宗問於三壽&gt;有關“智”“利”“信”三段簡文考釋》，《出土文獻》第11輯，中西書局2015年，第196-197頁。</w:t>
      </w:r>
    </w:p>
  </w:endnote>
  <w:endnote w:id="2">
    <w:p w14:paraId="37D4ABF4" w14:textId="77777777" w:rsidR="00C54EAE" w:rsidRPr="005624A0" w:rsidRDefault="00C54EAE" w:rsidP="00F15BDB">
      <w:pPr>
        <w:pStyle w:val="ad"/>
        <w:rPr>
          <w:lang w:eastAsia="zh-TW"/>
        </w:rPr>
      </w:pPr>
      <w:r w:rsidRPr="003938BF">
        <w:rPr>
          <w:rStyle w:val="afd"/>
        </w:rPr>
        <w:endnoteRef/>
      </w:r>
      <w:r w:rsidRPr="003938BF">
        <w:rPr>
          <w:lang w:eastAsia="zh-TW"/>
        </w:rPr>
        <w:t xml:space="preserve"> </w:t>
      </w:r>
      <w:r w:rsidRPr="003938BF">
        <w:rPr>
          <w:rFonts w:hint="eastAsia"/>
          <w:lang w:eastAsia="zh-TW"/>
        </w:rPr>
        <w:t>程浩：《清華簡第十四輯整理報告拾遺》，西南大學漢語言文獻研究所建所</w:t>
      </w:r>
      <w:r w:rsidRPr="003938BF">
        <w:rPr>
          <w:lang w:eastAsia="zh-TW"/>
        </w:rPr>
        <w:t>40</w:t>
      </w:r>
      <w:r w:rsidRPr="003938BF">
        <w:rPr>
          <w:rFonts w:hint="eastAsia"/>
          <w:lang w:eastAsia="zh-TW"/>
        </w:rPr>
        <w:t>周年紀念會暨古文字與古文獻國際學術研討會，西南大學，2024年11月16-17日。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charset w:val="86"/>
    <w:family w:val="modern"/>
    <w:pitch w:val="default"/>
    <w:sig w:usb0="00000000" w:usb1="00000000" w:usb2="0000001E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KaiXinSong">
    <w:altName w:val="Microsoft JhengHei"/>
    <w:charset w:val="00"/>
    <w:family w:val="modern"/>
    <w:pitch w:val="default"/>
    <w:sig w:usb0="00000000" w:usb1="00000000" w:usb2="04000016" w:usb3="00000000" w:csb0="0000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EC404" w14:textId="77777777" w:rsidR="00DB700A" w:rsidRDefault="005C0233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23A2AF50" w14:textId="77777777" w:rsidR="00DB700A" w:rsidRDefault="00DB700A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F8810" w14:textId="411BF9E2" w:rsidR="00DB700A" w:rsidRDefault="005C0233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年11月1</w:t>
    </w:r>
    <w:r w:rsidR="00C54EAE">
      <w:rPr>
        <w:sz w:val="18"/>
        <w:szCs w:val="18"/>
      </w:rPr>
      <w:t>6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年11月1</w:t>
    </w:r>
    <w:r w:rsidR="00C54EAE">
      <w:rPr>
        <w:sz w:val="18"/>
        <w:szCs w:val="18"/>
      </w:rPr>
      <w:t>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AD5FB" w14:textId="77777777" w:rsidR="00942676" w:rsidRDefault="00942676">
      <w:r>
        <w:separator/>
      </w:r>
    </w:p>
  </w:footnote>
  <w:footnote w:type="continuationSeparator" w:id="0">
    <w:p w14:paraId="302B361E" w14:textId="77777777" w:rsidR="00942676" w:rsidRDefault="009426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D49C5" w14:textId="77777777" w:rsidR="00DB700A" w:rsidRDefault="005C0233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6F840705" w14:textId="3DE5A8C3" w:rsidR="00DB700A" w:rsidRDefault="005C0233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2</w:t>
    </w:r>
    <w:r w:rsidR="00C54EAE">
      <w:t>11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xZDcyMDkxZmYzNDhmYjlmZjhmYTFhYWFiNTE4YjMifQ=="/>
  </w:docVars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51F6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3015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FBE"/>
    <w:rsid w:val="00332FF4"/>
    <w:rsid w:val="00334313"/>
    <w:rsid w:val="0033589E"/>
    <w:rsid w:val="003367D1"/>
    <w:rsid w:val="00347F61"/>
    <w:rsid w:val="003516DF"/>
    <w:rsid w:val="003519B2"/>
    <w:rsid w:val="003541B9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10652"/>
    <w:rsid w:val="004127DD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90"/>
    <w:rsid w:val="004D1FA3"/>
    <w:rsid w:val="004D4C84"/>
    <w:rsid w:val="004D511D"/>
    <w:rsid w:val="004D57DB"/>
    <w:rsid w:val="004E0A07"/>
    <w:rsid w:val="004E6E8E"/>
    <w:rsid w:val="004F09C9"/>
    <w:rsid w:val="004F11D3"/>
    <w:rsid w:val="004F244C"/>
    <w:rsid w:val="004F4CF4"/>
    <w:rsid w:val="004F62FC"/>
    <w:rsid w:val="00503A9E"/>
    <w:rsid w:val="005051B7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0233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60101E"/>
    <w:rsid w:val="00602939"/>
    <w:rsid w:val="00610E9E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5DF8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4046"/>
    <w:rsid w:val="0073487E"/>
    <w:rsid w:val="00740478"/>
    <w:rsid w:val="00740BC5"/>
    <w:rsid w:val="00742DDD"/>
    <w:rsid w:val="007430E0"/>
    <w:rsid w:val="00747A38"/>
    <w:rsid w:val="0075360F"/>
    <w:rsid w:val="007606F5"/>
    <w:rsid w:val="0076174E"/>
    <w:rsid w:val="007708C6"/>
    <w:rsid w:val="00771D41"/>
    <w:rsid w:val="007721C4"/>
    <w:rsid w:val="0077379F"/>
    <w:rsid w:val="00773918"/>
    <w:rsid w:val="00775AF2"/>
    <w:rsid w:val="007775A5"/>
    <w:rsid w:val="00781023"/>
    <w:rsid w:val="007810E0"/>
    <w:rsid w:val="007850CB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F45BF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676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C4773"/>
    <w:rsid w:val="009C5916"/>
    <w:rsid w:val="009C7D0F"/>
    <w:rsid w:val="009D27AC"/>
    <w:rsid w:val="009E12C0"/>
    <w:rsid w:val="009E1F4B"/>
    <w:rsid w:val="009E50C6"/>
    <w:rsid w:val="009E63D4"/>
    <w:rsid w:val="009F1DA2"/>
    <w:rsid w:val="009F4D40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3350"/>
    <w:rsid w:val="00A35CE6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F246E"/>
    <w:rsid w:val="00AF479D"/>
    <w:rsid w:val="00AF635B"/>
    <w:rsid w:val="00AF75C8"/>
    <w:rsid w:val="00B00EE9"/>
    <w:rsid w:val="00B030E6"/>
    <w:rsid w:val="00B059FD"/>
    <w:rsid w:val="00B07332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52B1A"/>
    <w:rsid w:val="00C540E0"/>
    <w:rsid w:val="00C54EAE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89"/>
    <w:rsid w:val="00C9729E"/>
    <w:rsid w:val="00CA455C"/>
    <w:rsid w:val="00CB0024"/>
    <w:rsid w:val="00CB3F3F"/>
    <w:rsid w:val="00CC33AB"/>
    <w:rsid w:val="00CC51D6"/>
    <w:rsid w:val="00CC537A"/>
    <w:rsid w:val="00CC6F6E"/>
    <w:rsid w:val="00CD12D8"/>
    <w:rsid w:val="00CD2E44"/>
    <w:rsid w:val="00CD3AD6"/>
    <w:rsid w:val="00CE1F09"/>
    <w:rsid w:val="00CF2087"/>
    <w:rsid w:val="00CF2835"/>
    <w:rsid w:val="00CF2D53"/>
    <w:rsid w:val="00CF3432"/>
    <w:rsid w:val="00CF55D5"/>
    <w:rsid w:val="00CF5EB2"/>
    <w:rsid w:val="00CF736F"/>
    <w:rsid w:val="00D00583"/>
    <w:rsid w:val="00D00D40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4023B"/>
    <w:rsid w:val="00D40B52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4579"/>
    <w:rsid w:val="00D850D5"/>
    <w:rsid w:val="00D859D5"/>
    <w:rsid w:val="00D85C5E"/>
    <w:rsid w:val="00D91E89"/>
    <w:rsid w:val="00D94761"/>
    <w:rsid w:val="00D94D4A"/>
    <w:rsid w:val="00DA17FB"/>
    <w:rsid w:val="00DA2027"/>
    <w:rsid w:val="00DA469D"/>
    <w:rsid w:val="00DB1A8E"/>
    <w:rsid w:val="00DB2818"/>
    <w:rsid w:val="00DB652D"/>
    <w:rsid w:val="00DB700A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15C5"/>
    <w:rsid w:val="00E42543"/>
    <w:rsid w:val="00E4260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5B02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15BDB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C12"/>
    <w:rsid w:val="00FC044C"/>
    <w:rsid w:val="00FC0AB0"/>
    <w:rsid w:val="00FC1005"/>
    <w:rsid w:val="00FC4A76"/>
    <w:rsid w:val="00FD3E77"/>
    <w:rsid w:val="00FD71AB"/>
    <w:rsid w:val="00FD7850"/>
    <w:rsid w:val="00FE080D"/>
    <w:rsid w:val="00FE20AC"/>
    <w:rsid w:val="00FF0AE3"/>
    <w:rsid w:val="119E26ED"/>
    <w:rsid w:val="1E82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85BEF8"/>
  <w15:docId w15:val="{A28ACAD6-9894-4D8F-9640-CB07950F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qFormat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vertAlign w:val="superscript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qFormat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0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1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qFormat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qFormat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qFormat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WW-EndnoteReference12345678">
    <w:name w:val="WW-Endnote Reference12345678"/>
    <w:qFormat/>
    <w:rPr>
      <w:vertAlign w:val="superscript"/>
    </w:rPr>
  </w:style>
  <w:style w:type="paragraph" w:customStyle="1" w:styleId="ListHeading">
    <w:name w:val="List Heading"/>
    <w:basedOn w:val="a0"/>
    <w:next w:val="a0"/>
    <w:qFormat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qFormat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qFormat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qFormat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qFormat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qFormat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qFormat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qFormat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qFormat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qFormat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qFormat/>
    <w:rPr>
      <w:rFonts w:ascii="Tahoma" w:hAnsi="Tahoma"/>
      <w:bCs/>
      <w:szCs w:val="20"/>
    </w:rPr>
  </w:style>
  <w:style w:type="character" w:customStyle="1" w:styleId="firstpagedate1">
    <w:name w:val="firstpagedate1"/>
    <w:qFormat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  <w:qFormat/>
  </w:style>
  <w:style w:type="character" w:customStyle="1" w:styleId="1b">
    <w:name w:val="访问过的超链接1"/>
    <w:basedOn w:val="a1"/>
    <w:uiPriority w:val="99"/>
    <w:semiHidden/>
    <w:unhideWhenUsed/>
    <w:qFormat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  <w:qFormat/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qFormat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qFormat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  <w:qFormat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qFormat/>
    <w:rPr>
      <w:color w:val="0033FF"/>
    </w:rPr>
  </w:style>
  <w:style w:type="character" w:customStyle="1" w:styleId="lzspan">
    <w:name w:val="lzspan"/>
    <w:qFormat/>
  </w:style>
  <w:style w:type="character" w:customStyle="1" w:styleId="af5">
    <w:name w:val="副标题 字符"/>
    <w:basedOn w:val="a1"/>
    <w:link w:val="af4"/>
    <w:uiPriority w:val="11"/>
    <w:qFormat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qFormat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  <w:qFormat/>
  </w:style>
  <w:style w:type="character" w:customStyle="1" w:styleId="2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zi21">
    <w:name w:val="zi21"/>
    <w:basedOn w:val="a1"/>
    <w:qFormat/>
    <w:rPr>
      <w:rFonts w:ascii="KaiXinSong" w:eastAsia="KaiXinSong" w:hAnsi="KaiXinSong" w:hint="eastAsia"/>
    </w:rPr>
  </w:style>
  <w:style w:type="paragraph" w:customStyle="1" w:styleId="afff4">
    <w:name w:val="样式"/>
    <w:qFormat/>
    <w:pPr>
      <w:widowControl w:val="0"/>
      <w:autoSpaceDE w:val="0"/>
      <w:autoSpaceDN w:val="0"/>
      <w:adjustRightInd w:val="0"/>
    </w:pPr>
    <w:rPr>
      <w:rFonts w:ascii="宋体" w:cs="宋体"/>
      <w:sz w:val="24"/>
      <w:szCs w:val="24"/>
    </w:rPr>
  </w:style>
  <w:style w:type="table" w:customStyle="1" w:styleId="1f1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120</Words>
  <Characters>688</Characters>
  <Application>Microsoft Office Word</Application>
  <DocSecurity>0</DocSecurity>
  <Lines>5</Lines>
  <Paragraphs>1</Paragraphs>
  <ScaleCrop>false</ScaleCrop>
  <Company>GWZ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Lenovo</cp:lastModifiedBy>
  <cp:revision>288</cp:revision>
  <dcterms:created xsi:type="dcterms:W3CDTF">2018-01-27T09:07:00Z</dcterms:created>
  <dcterms:modified xsi:type="dcterms:W3CDTF">2024-11-17T14:31:00Z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ProductBuildVer">
    <vt:lpwstr>2052-12.1.0.18608</vt:lpwstr>
  </property>
  <property fmtid="{D5CDD505-2E9C-101B-9397-08002B2CF9AE}" pid="4" name="ICV">
    <vt:lpwstr>E678ED1000714A5F934055F0F157B045_13</vt:lpwstr>
  </property>
</Properties>
</file>